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B972" w14:textId="77777777" w:rsidR="00E25BBC" w:rsidRPr="00237D4D" w:rsidRDefault="00E25BBC" w:rsidP="00E25BB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2D0C7CC" w14:textId="77777777" w:rsidR="00195C06" w:rsidRDefault="00E25BBC" w:rsidP="00E25BB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</w:p>
    <w:p w14:paraId="1C553ABC" w14:textId="7FDAAAA0" w:rsidR="00E25BBC" w:rsidRPr="00237D4D" w:rsidRDefault="00E25BBC" w:rsidP="00E25BB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ПОПКОВСКОГО СЕЛЬСКОГО ПОСЕЛЕНИЯ</w:t>
      </w: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0CBAFC7E" w14:textId="77777777" w:rsidR="00E25BBC" w:rsidRPr="00237D4D" w:rsidRDefault="00E25BBC" w:rsidP="00E25BBC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332AB5B3" w14:textId="77777777" w:rsidR="00E25BBC" w:rsidRPr="00237D4D" w:rsidRDefault="00E25BBC" w:rsidP="00E25BB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897177" w14:textId="582B5F7F" w:rsidR="00E25BBC" w:rsidRPr="00237D4D" w:rsidRDefault="00E25BBC" w:rsidP="00E25B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B46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237D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46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</w:t>
      </w:r>
      <w:r w:rsidRPr="00237D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202</w:t>
      </w:r>
      <w:r w:rsidR="00B460D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4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г.           </w:t>
      </w:r>
      <w:r w:rsidRPr="00237D4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="00996119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37</w:t>
      </w:r>
    </w:p>
    <w:p w14:paraId="1BD2A91D" w14:textId="77777777" w:rsidR="00E25BBC" w:rsidRPr="00237D4D" w:rsidRDefault="00E25BBC" w:rsidP="00E25B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E90ED" w14:textId="4DAB0D4C" w:rsidR="00E25BBC" w:rsidRPr="00E57C93" w:rsidRDefault="00E25BBC" w:rsidP="00E57C9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«10» июня 2020г. № 52 «Об утверждении административного регламента предоставления муниципальной услуги «</w:t>
      </w:r>
      <w:r w:rsidRPr="00E57C93">
        <w:rPr>
          <w:rFonts w:ascii="Cambria" w:hAnsi="Cambria" w:cstheme="minorHAnsi"/>
          <w:b/>
          <w:i/>
          <w:iCs/>
          <w:sz w:val="26"/>
          <w:szCs w:val="26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»</w:t>
      </w:r>
    </w:p>
    <w:p w14:paraId="72FADAAB" w14:textId="77777777" w:rsidR="00E25BBC" w:rsidRPr="00E57C93" w:rsidRDefault="00E25BBC" w:rsidP="00E57C9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i/>
          <w:iCs/>
          <w:sz w:val="26"/>
          <w:szCs w:val="26"/>
          <w:lang w:eastAsia="ru-RU"/>
        </w:rPr>
      </w:pPr>
    </w:p>
    <w:p w14:paraId="1CA3B4A7" w14:textId="06158B1A" w:rsidR="00E25BBC" w:rsidRPr="00E57C93" w:rsidRDefault="00E25BBC" w:rsidP="00B460D1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Устава </w:t>
      </w:r>
      <w:proofErr w:type="spellStart"/>
      <w:r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</w:t>
      </w:r>
      <w:r w:rsidR="00B460D1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,</w:t>
      </w:r>
      <w:r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</w:t>
      </w:r>
      <w:r w:rsidR="00B460D1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администрация </w:t>
      </w:r>
      <w:proofErr w:type="spellStart"/>
      <w:r w:rsidR="00B460D1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Попковского</w:t>
      </w:r>
      <w:proofErr w:type="spellEnd"/>
      <w:r w:rsidR="00B460D1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сельского поселения </w:t>
      </w:r>
      <w:r w:rsidRPr="00E57C93">
        <w:rPr>
          <w:rFonts w:ascii="Cambria" w:eastAsia="Times New Roman" w:hAnsi="Cambria" w:cstheme="minorHAnsi"/>
          <w:b/>
          <w:bCs/>
          <w:spacing w:val="30"/>
          <w:sz w:val="26"/>
          <w:szCs w:val="26"/>
          <w:lang w:eastAsia="ru-RU"/>
        </w:rPr>
        <w:t>постановляет</w:t>
      </w:r>
      <w:r w:rsidRPr="00E57C93">
        <w:rPr>
          <w:rFonts w:ascii="Cambria" w:eastAsia="Times New Roman" w:hAnsi="Cambria" w:cstheme="minorHAnsi"/>
          <w:b/>
          <w:bCs/>
          <w:sz w:val="26"/>
          <w:szCs w:val="26"/>
          <w:lang w:eastAsia="ru-RU"/>
        </w:rPr>
        <w:t>:</w:t>
      </w:r>
    </w:p>
    <w:p w14:paraId="4F563F1D" w14:textId="77777777" w:rsidR="00E25BBC" w:rsidRPr="00E57C93" w:rsidRDefault="00E25BBC" w:rsidP="00E25BBC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1. Внести в административный регламент предоставления муниципальной услуги «</w:t>
      </w:r>
      <w:r w:rsidRPr="00E57C93">
        <w:rPr>
          <w:rFonts w:ascii="Cambria" w:hAnsi="Cambria" w:cstheme="minorHAnsi"/>
          <w:sz w:val="26"/>
          <w:szCs w:val="26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Pr="00E57C93">
        <w:rPr>
          <w:rFonts w:ascii="Cambria" w:eastAsia="Times New Roman" w:hAnsi="Cambria" w:cstheme="minorHAnsi"/>
          <w:b/>
          <w:sz w:val="26"/>
          <w:szCs w:val="26"/>
          <w:lang w:eastAsia="ru-RU"/>
        </w:rPr>
        <w:t>»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, утвержденный постановлением администрации </w:t>
      </w:r>
      <w:proofErr w:type="spellStart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«10» июня 2020 г. № 52, ( далее- Регламент) следующие изменения:</w:t>
      </w:r>
    </w:p>
    <w:p w14:paraId="2D9ABBD6" w14:textId="5F0B3385" w:rsidR="00E25BBC" w:rsidRPr="00E57C93" w:rsidRDefault="00B460D1" w:rsidP="00E57C93">
      <w:pPr>
        <w:pStyle w:val="a3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i/>
          <w:iCs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E57C93">
        <w:rPr>
          <w:rFonts w:ascii="Cambria" w:eastAsia="Times New Roman" w:hAnsi="Cambria" w:cstheme="minorHAnsi"/>
          <w:b/>
          <w:bCs/>
          <w:i/>
          <w:iCs/>
          <w:color w:val="000000" w:themeColor="text1"/>
          <w:sz w:val="26"/>
          <w:szCs w:val="26"/>
          <w:lang w:eastAsia="ru-RU"/>
        </w:rPr>
        <w:t>подпункт 3.3.3. пункта 3.3. регламента изложить в следующей редакции</w:t>
      </w:r>
      <w:r w:rsidR="00E25BBC" w:rsidRPr="00E57C93">
        <w:rPr>
          <w:rFonts w:ascii="Cambria" w:eastAsia="Times New Roman" w:hAnsi="Cambria" w:cstheme="minorHAnsi"/>
          <w:b/>
          <w:bCs/>
          <w:i/>
          <w:iCs/>
          <w:color w:val="000000" w:themeColor="text1"/>
          <w:sz w:val="26"/>
          <w:szCs w:val="26"/>
          <w:lang w:eastAsia="ru-RU"/>
        </w:rPr>
        <w:t>:</w:t>
      </w:r>
    </w:p>
    <w:p w14:paraId="0630E24D" w14:textId="27D64A13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 xml:space="preserve">«3.3.3. По итогам рассмотрения заявления уполномоченный орган: </w:t>
      </w:r>
    </w:p>
    <w:p w14:paraId="1C664CBC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>1) принимает решение о переводе жилого помещения в нежилое помещение либо о переводе нежилого помещения в жилое помещение;</w:t>
      </w:r>
    </w:p>
    <w:p w14:paraId="1B9A9AF2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>2) принимает решение об отказе в переводе жилого помещения в нежилое помещение либо о переводе нежилого помещения в жилое помещение при наличии оснований, предусмотренных пунктом 2.8 настоящего административного регламента.</w:t>
      </w:r>
    </w:p>
    <w:p w14:paraId="1536F6CE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 xml:space="preserve">На основании принятого решения готовится уведомление, подтверждающее принятие одного из указанных в пункте 3.3.4 настоящего административного регламента решений, которое оформляется по форме, утвержденной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помещение». </w:t>
      </w:r>
    </w:p>
    <w:p w14:paraId="78A6FBD9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</w:r>
    </w:p>
    <w:p w14:paraId="3918AAD2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 xml:space="preserve"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уведомление, подтверждающий принятие </w:t>
      </w:r>
      <w:r w:rsidRPr="00E57C93">
        <w:rPr>
          <w:rFonts w:ascii="Cambria" w:hAnsi="Cambria" w:cstheme="minorHAnsi"/>
          <w:color w:val="000000" w:themeColor="text1"/>
          <w:sz w:val="26"/>
          <w:szCs w:val="26"/>
        </w:rPr>
        <w:lastRenderedPageBreak/>
        <w:t>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025DFEDA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 уведомление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2.6.1 настоящего административного регламента. </w:t>
      </w:r>
    </w:p>
    <w:p w14:paraId="5C4785A9" w14:textId="62BF4D30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>По окончании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N 218-ФЗ "О государственной регистрации недвижимости". 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уведомлением,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уведомлением,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3EDF9037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</w:t>
      </w:r>
      <w:r w:rsidRPr="00E57C93">
        <w:rPr>
          <w:rFonts w:ascii="Cambria" w:hAnsi="Cambria" w:cstheme="minorHAnsi"/>
          <w:color w:val="000000" w:themeColor="text1"/>
          <w:sz w:val="26"/>
          <w:szCs w:val="26"/>
        </w:rPr>
        <w:lastRenderedPageBreak/>
        <w:t>кадастрового учета образованных помещений и государственной регистрации права на образованные помещения.</w:t>
      </w:r>
    </w:p>
    <w:p w14:paraId="21AC766F" w14:textId="77777777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color w:val="000000" w:themeColor="text1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>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уведомления.</w:t>
      </w:r>
    </w:p>
    <w:p w14:paraId="71B3022A" w14:textId="7EA675E6" w:rsidR="00B460D1" w:rsidRPr="00E57C93" w:rsidRDefault="00B460D1" w:rsidP="00B460D1">
      <w:pPr>
        <w:pStyle w:val="ConsPlusNormal"/>
        <w:ind w:left="-426" w:firstLine="425"/>
        <w:jc w:val="both"/>
        <w:rPr>
          <w:rFonts w:ascii="Cambria" w:hAnsi="Cambria" w:cstheme="minorHAnsi"/>
          <w:sz w:val="26"/>
          <w:szCs w:val="26"/>
        </w:rPr>
      </w:pPr>
      <w:r w:rsidRPr="00E57C93">
        <w:rPr>
          <w:rFonts w:ascii="Cambria" w:hAnsi="Cambria" w:cstheme="minorHAnsi"/>
          <w:color w:val="000000" w:themeColor="text1"/>
          <w:sz w:val="26"/>
          <w:szCs w:val="26"/>
        </w:rPr>
        <w:t>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 Переустройство помещения в многоквартирном доме считается завершенным со дня утверждения акта.».</w:t>
      </w:r>
      <w:r w:rsidR="00E25BBC" w:rsidRPr="00E57C93">
        <w:rPr>
          <w:rFonts w:ascii="Cambria" w:hAnsi="Cambria" w:cstheme="minorHAnsi"/>
          <w:color w:val="000000" w:themeColor="text1"/>
          <w:sz w:val="26"/>
          <w:szCs w:val="26"/>
        </w:rPr>
        <w:t xml:space="preserve">   </w:t>
      </w:r>
      <w:r w:rsidR="00E25BBC" w:rsidRPr="00E57C93">
        <w:rPr>
          <w:rFonts w:ascii="Cambria" w:hAnsi="Cambria" w:cstheme="minorHAnsi"/>
          <w:sz w:val="26"/>
          <w:szCs w:val="26"/>
        </w:rPr>
        <w:t xml:space="preserve"> </w:t>
      </w:r>
    </w:p>
    <w:p w14:paraId="3E9C1D1C" w14:textId="62E476EB" w:rsidR="00E25BBC" w:rsidRPr="00E57C93" w:rsidRDefault="00E25BBC" w:rsidP="00B460D1">
      <w:pPr>
        <w:pStyle w:val="ConsPlusNormal"/>
        <w:ind w:left="-426" w:firstLine="425"/>
        <w:jc w:val="both"/>
        <w:rPr>
          <w:rFonts w:ascii="Cambria" w:hAnsi="Cambria" w:cstheme="minorHAnsi"/>
          <w:bCs/>
          <w:sz w:val="26"/>
          <w:szCs w:val="26"/>
        </w:rPr>
      </w:pPr>
      <w:r w:rsidRPr="00E57C93">
        <w:rPr>
          <w:rFonts w:ascii="Cambria" w:hAnsi="Cambria" w:cstheme="minorHAnsi"/>
          <w:sz w:val="26"/>
          <w:szCs w:val="26"/>
        </w:rPr>
        <w:t>2. Настоящее постановление вступает в силу после его официального обнародования.</w:t>
      </w:r>
    </w:p>
    <w:p w14:paraId="06159311" w14:textId="77777777" w:rsidR="00E25BBC" w:rsidRPr="00E57C93" w:rsidRDefault="00E25BBC" w:rsidP="00E25BBC">
      <w:pPr>
        <w:widowControl w:val="0"/>
        <w:autoSpaceDE w:val="0"/>
        <w:spacing w:after="0" w:line="240" w:lineRule="auto"/>
        <w:ind w:left="-426" w:firstLine="425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04B7A921" w14:textId="04B82996" w:rsidR="00E25BBC" w:rsidRPr="00E57C93" w:rsidRDefault="00E25BBC" w:rsidP="00E25BBC">
      <w:pPr>
        <w:widowControl w:val="0"/>
        <w:autoSpaceDE w:val="0"/>
        <w:spacing w:after="0" w:line="240" w:lineRule="auto"/>
        <w:ind w:firstLine="425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28200FF9" w14:textId="77777777" w:rsidR="00E25BBC" w:rsidRPr="00E57C93" w:rsidRDefault="00E25BBC" w:rsidP="00E25BBC">
      <w:pPr>
        <w:widowControl w:val="0"/>
        <w:autoSpaceDE w:val="0"/>
        <w:spacing w:after="0" w:line="240" w:lineRule="auto"/>
        <w:ind w:firstLine="425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14E00213" w14:textId="77777777" w:rsidR="00E25BBC" w:rsidRPr="00E57C93" w:rsidRDefault="00E25BBC" w:rsidP="00E25BB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Глава </w:t>
      </w:r>
      <w:proofErr w:type="spellStart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сельского поселения                    Ивахнов А.И.</w:t>
      </w:r>
    </w:p>
    <w:p w14:paraId="70BC5762" w14:textId="77777777" w:rsidR="00E25BBC" w:rsidRPr="00E57C93" w:rsidRDefault="00E25BBC" w:rsidP="00E25BBC">
      <w:pPr>
        <w:widowControl w:val="0"/>
        <w:autoSpaceDE w:val="0"/>
        <w:spacing w:after="0" w:line="240" w:lineRule="auto"/>
        <w:ind w:firstLine="425"/>
        <w:rPr>
          <w:rFonts w:ascii="Cambria" w:eastAsia="Times New Roman" w:hAnsi="Cambria" w:cs="Arial"/>
          <w:i/>
          <w:sz w:val="24"/>
          <w:szCs w:val="24"/>
          <w:lang w:eastAsia="ru-RU"/>
        </w:rPr>
      </w:pPr>
    </w:p>
    <w:p w14:paraId="04714B8F" w14:textId="77777777" w:rsidR="00E25BBC" w:rsidRPr="00E57C93" w:rsidRDefault="00E25BBC" w:rsidP="00E25BBC">
      <w:pPr>
        <w:pStyle w:val="a3"/>
        <w:ind w:left="-567" w:firstLine="425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ru-RU"/>
        </w:rPr>
      </w:pPr>
    </w:p>
    <w:p w14:paraId="096C514B" w14:textId="77777777" w:rsidR="00E25BBC" w:rsidRPr="00E57C93" w:rsidRDefault="00E25BBC" w:rsidP="00E25BBC">
      <w:pPr>
        <w:spacing w:after="0" w:line="240" w:lineRule="auto"/>
        <w:ind w:left="-567" w:firstLine="425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ru-RU"/>
        </w:rPr>
      </w:pPr>
    </w:p>
    <w:p w14:paraId="0F7AA3F0" w14:textId="77777777" w:rsidR="00B25234" w:rsidRPr="00E57C93" w:rsidRDefault="00B25234" w:rsidP="00E25BBC">
      <w:pPr>
        <w:ind w:firstLine="425"/>
        <w:rPr>
          <w:rFonts w:ascii="Cambria" w:hAnsi="Cambria" w:cs="Arial"/>
          <w:sz w:val="24"/>
          <w:szCs w:val="24"/>
        </w:rPr>
      </w:pPr>
    </w:p>
    <w:sectPr w:rsidR="00B25234" w:rsidRPr="00E57C93" w:rsidSect="00E57C9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485A"/>
    <w:multiLevelType w:val="hybridMultilevel"/>
    <w:tmpl w:val="9514906E"/>
    <w:lvl w:ilvl="0" w:tplc="78F02660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BC346DD"/>
    <w:multiLevelType w:val="hybridMultilevel"/>
    <w:tmpl w:val="2578BE08"/>
    <w:lvl w:ilvl="0" w:tplc="74E87F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D096ABE"/>
    <w:multiLevelType w:val="hybridMultilevel"/>
    <w:tmpl w:val="D0DC1D04"/>
    <w:lvl w:ilvl="0" w:tplc="12E2A8E4">
      <w:start w:val="4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77BE100B"/>
    <w:multiLevelType w:val="hybridMultilevel"/>
    <w:tmpl w:val="8CB0E3EC"/>
    <w:lvl w:ilvl="0" w:tplc="A532DA9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CD"/>
    <w:rsid w:val="00031684"/>
    <w:rsid w:val="00195C06"/>
    <w:rsid w:val="004F0DB1"/>
    <w:rsid w:val="00996119"/>
    <w:rsid w:val="00B25234"/>
    <w:rsid w:val="00B460D1"/>
    <w:rsid w:val="00E25BBC"/>
    <w:rsid w:val="00E57C93"/>
    <w:rsid w:val="00EE02CD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6165"/>
  <w15:chartTrackingRefBased/>
  <w15:docId w15:val="{742864EB-717D-4FE9-84AC-3BCC740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BBC"/>
    <w:pPr>
      <w:ind w:left="720"/>
      <w:contextualSpacing/>
    </w:pPr>
  </w:style>
  <w:style w:type="paragraph" w:customStyle="1" w:styleId="ConsPlusNormal">
    <w:name w:val="ConsPlusNormal"/>
    <w:link w:val="ConsPlusNormal0"/>
    <w:rsid w:val="00E25B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5BB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D7C7-A044-4938-B9F3-A9B81C17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2024-04-24T07:01:00Z</cp:lastPrinted>
  <dcterms:created xsi:type="dcterms:W3CDTF">2022-08-26T11:53:00Z</dcterms:created>
  <dcterms:modified xsi:type="dcterms:W3CDTF">2024-04-24T07:02:00Z</dcterms:modified>
</cp:coreProperties>
</file>